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6D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1ED28160" w14:textId="5397611A" w:rsidR="003C1FD1" w:rsidRDefault="00D35598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D35598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122581">
        <w:rPr>
          <w:rFonts w:cs="Times New Roman"/>
          <w:b/>
          <w:bCs/>
          <w:color w:val="000000"/>
          <w:sz w:val="23"/>
          <w:szCs w:val="23"/>
        </w:rPr>
        <w:t xml:space="preserve">specialet </w:t>
      </w:r>
      <w:r w:rsidR="00D97F1C">
        <w:rPr>
          <w:rFonts w:cs="Times New Roman"/>
          <w:b/>
          <w:bCs/>
          <w:color w:val="000000"/>
          <w:sz w:val="23"/>
          <w:szCs w:val="23"/>
        </w:rPr>
        <w:t>eventtekniker med speciale i illuminationsteknik</w:t>
      </w:r>
    </w:p>
    <w:p w14:paraId="0CBA045D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461802" w14:textId="503E6EA9" w:rsidR="00107BB2" w:rsidRDefault="00D3559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Erklæringen om oplæring</w:t>
      </w:r>
      <w:r w:rsidRPr="00446272">
        <w:rPr>
          <w:rFonts w:cs="Verdana"/>
          <w:color w:val="000000"/>
          <w:sz w:val="18"/>
          <w:szCs w:val="18"/>
        </w:rPr>
        <w:t xml:space="preserve">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 xml:space="preserve">lærlingen </w:t>
      </w:r>
      <w:r w:rsidR="00107BB2">
        <w:rPr>
          <w:rFonts w:cs="Verdana"/>
          <w:color w:val="000000"/>
          <w:sz w:val="18"/>
          <w:szCs w:val="18"/>
        </w:rPr>
        <w:t xml:space="preserve">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  <w:r w:rsidR="00F506B8"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cs="Verdana"/>
          <w:color w:val="000000"/>
          <w:sz w:val="18"/>
          <w:szCs w:val="18"/>
        </w:rPr>
        <w:t xml:space="preserve">erklæringen om oplæring </w:t>
      </w:r>
      <w:r w:rsidR="00F506B8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3713F5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317EC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DEC29F0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811AB1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D303F55" w14:textId="265B655D" w:rsidR="003C1FD1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EFA842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4D781DDD" w14:textId="77777777" w:rsidTr="00C02DB8">
        <w:tc>
          <w:tcPr>
            <w:tcW w:w="9670" w:type="dxa"/>
          </w:tcPr>
          <w:p w14:paraId="1BABE7B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E434F6" w14:textId="1F930996" w:rsidR="00C95ADE" w:rsidRDefault="00D3559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B92BBF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="00B92BBF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9D09C0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FC61748" w14:textId="547BA07E" w:rsidR="009F6577" w:rsidRPr="00C95ADE" w:rsidRDefault="00D35598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 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</w:tc>
      </w:tr>
    </w:tbl>
    <w:p w14:paraId="141E9908" w14:textId="77777777" w:rsidR="00B85A66" w:rsidRDefault="00B85A66"/>
    <w:p w14:paraId="74E1710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03315A4" w14:textId="77777777" w:rsidTr="003C1FD1">
        <w:tc>
          <w:tcPr>
            <w:tcW w:w="5245" w:type="dxa"/>
          </w:tcPr>
          <w:p w14:paraId="07BA822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1EB1E9" w14:textId="30D04451" w:rsidR="003C1FD1" w:rsidRPr="00446272" w:rsidRDefault="00D3559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99BF8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9A5EC8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2D21F81" w14:textId="77777777" w:rsidR="00B85A66" w:rsidRDefault="00B85A66"/>
    <w:p w14:paraId="720F530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216BD41E" w14:textId="77777777" w:rsidTr="003C1FD1">
        <w:tc>
          <w:tcPr>
            <w:tcW w:w="5245" w:type="dxa"/>
          </w:tcPr>
          <w:p w14:paraId="50F22C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B389F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3C1D10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7DE29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41A7BF3" w14:textId="77777777" w:rsidTr="003C1FD1">
        <w:tc>
          <w:tcPr>
            <w:tcW w:w="5245" w:type="dxa"/>
          </w:tcPr>
          <w:p w14:paraId="40B53B0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A60A88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3EEC3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9CDB80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C3E6708" w14:textId="77777777" w:rsidTr="003C1FD1">
        <w:tc>
          <w:tcPr>
            <w:tcW w:w="5245" w:type="dxa"/>
          </w:tcPr>
          <w:p w14:paraId="371200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99E132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261248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C29E4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1034697" w14:textId="77777777" w:rsidR="00B85A66" w:rsidRDefault="00B85A66"/>
    <w:p w14:paraId="05B800E6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C8F0891" w14:textId="77777777" w:rsidTr="002431B9">
        <w:tc>
          <w:tcPr>
            <w:tcW w:w="9670" w:type="dxa"/>
            <w:gridSpan w:val="2"/>
          </w:tcPr>
          <w:p w14:paraId="7F073C8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AB455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AC09D36" w14:textId="77777777" w:rsidTr="003C1FD1">
        <w:tc>
          <w:tcPr>
            <w:tcW w:w="5245" w:type="dxa"/>
          </w:tcPr>
          <w:p w14:paraId="4648A23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8384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87934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29341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2FAE12B0" w14:textId="77777777" w:rsidTr="003C1FD1">
        <w:tc>
          <w:tcPr>
            <w:tcW w:w="5245" w:type="dxa"/>
          </w:tcPr>
          <w:p w14:paraId="7A5C23D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D6E4C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3E13E78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A637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DD90B56" w14:textId="77777777" w:rsidTr="005E54E9">
        <w:tc>
          <w:tcPr>
            <w:tcW w:w="9670" w:type="dxa"/>
            <w:gridSpan w:val="2"/>
          </w:tcPr>
          <w:p w14:paraId="440FA41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691A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DF375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5C00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4581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03CAC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88555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3EEB6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9D7D5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A0B86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486C1A9" w14:textId="77777777" w:rsidTr="005E54E9">
        <w:tc>
          <w:tcPr>
            <w:tcW w:w="9670" w:type="dxa"/>
            <w:gridSpan w:val="2"/>
          </w:tcPr>
          <w:p w14:paraId="0A94E59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38BB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0C04A3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ECB177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26121F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3618ED9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1576BFA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1D5F78B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88638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42F8F6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455C62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99F2593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97151B8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58C719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7DB0052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7A8158B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164F417A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798F9FD6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15F3CFA1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457102C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B840AA6" w14:textId="77777777" w:rsidR="00D35598" w:rsidRPr="000C2385" w:rsidRDefault="00D35598" w:rsidP="00D35598">
      <w:pPr>
        <w:contextualSpacing/>
        <w:rPr>
          <w:sz w:val="18"/>
          <w:szCs w:val="18"/>
        </w:rPr>
      </w:pPr>
    </w:p>
    <w:p w14:paraId="339935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5D4F05F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304705" w:rsidRPr="00446272" w14:paraId="43F7E423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3BA5F7E1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69235052" w14:textId="5357C668" w:rsidR="00304705" w:rsidRPr="0078276A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b/>
                <w:color w:val="000000"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 w:rsidR="00826432"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0ACD54F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2419F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2A9504A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1DF6FFB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63D7B258" w14:textId="7EF1679D" w:rsidR="00953169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4E1C2B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4308C" w:rsidRPr="0054308C" w14:paraId="0F8B7207" w14:textId="77777777" w:rsidTr="0054308C">
        <w:tc>
          <w:tcPr>
            <w:tcW w:w="9520" w:type="dxa"/>
            <w:gridSpan w:val="4"/>
            <w:shd w:val="clear" w:color="auto" w:fill="auto"/>
          </w:tcPr>
          <w:p w14:paraId="17F7DDA5" w14:textId="77777777" w:rsidR="0054308C" w:rsidRPr="0054308C" w:rsidRDefault="0054308C" w:rsidP="0054308C">
            <w:pPr>
              <w:pStyle w:val="Listeafsnit"/>
              <w:spacing w:after="160" w:line="259" w:lineRule="auto"/>
              <w:ind w:hanging="720"/>
              <w:rPr>
                <w:b/>
              </w:rPr>
            </w:pPr>
          </w:p>
          <w:p w14:paraId="1AFECEFF" w14:textId="77777777" w:rsidR="0054308C" w:rsidRPr="0054308C" w:rsidRDefault="00B92BBF" w:rsidP="004A6D2F">
            <w:pPr>
              <w:rPr>
                <w:b/>
              </w:rPr>
            </w:pPr>
            <w:r>
              <w:rPr>
                <w:b/>
              </w:rPr>
              <w:t xml:space="preserve">Trin 1 </w:t>
            </w:r>
            <w:proofErr w:type="gramStart"/>
            <w:r>
              <w:rPr>
                <w:b/>
              </w:rPr>
              <w:t>teater,-</w:t>
            </w:r>
            <w:proofErr w:type="gramEnd"/>
            <w:r>
              <w:rPr>
                <w:b/>
              </w:rPr>
              <w:t xml:space="preserve"> udstillings- og eventteknisk produktionsassistent</w:t>
            </w:r>
          </w:p>
          <w:p w14:paraId="3C57CE20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AE7A21A" w14:textId="77777777" w:rsidTr="0054308C">
        <w:tc>
          <w:tcPr>
            <w:tcW w:w="5688" w:type="dxa"/>
            <w:shd w:val="clear" w:color="auto" w:fill="auto"/>
          </w:tcPr>
          <w:p w14:paraId="73A22632" w14:textId="77777777" w:rsidR="008A6677" w:rsidRPr="008A6677" w:rsidRDefault="008A6677" w:rsidP="008A66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>Op</w:t>
            </w:r>
            <w:r>
              <w:rPr>
                <w:b/>
                <w:bCs/>
                <w:color w:val="auto"/>
                <w:sz w:val="20"/>
                <w:szCs w:val="20"/>
              </w:rPr>
              <w:t>stilling og nedtagning</w:t>
            </w:r>
          </w:p>
          <w:p w14:paraId="2EA03A16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håndtere, transportere, opsætte og nedtage udstyr og elementer i forbindelse med arrangementer (forestillinger, udstillinger og koncerter, events m.v.), herunder anvende det for branchen relevante rigningsudstyr sikkerhedsmæssigt forsvarlig i en rutinemæssig eller kendt situation. </w:t>
            </w:r>
          </w:p>
          <w:p w14:paraId="53E12373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14:paraId="7F19DB3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DFC2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CAB83A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20941BDC" w14:textId="77777777" w:rsidTr="0054308C">
        <w:tc>
          <w:tcPr>
            <w:tcW w:w="5688" w:type="dxa"/>
            <w:shd w:val="clear" w:color="auto" w:fill="auto"/>
          </w:tcPr>
          <w:p w14:paraId="73426488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Lydteknisk arbejde</w:t>
            </w:r>
          </w:p>
          <w:p w14:paraId="5517B23C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lydteknisk arbejde på en mindre lydproduktion og assistere på større lydproduktioner, herunder vælge og sammenkoble et lydanlæg samt indspille og afvikle lyd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091D9951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F8F730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D3C624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7A96FE8" w14:textId="77777777" w:rsidTr="0054308C">
        <w:tc>
          <w:tcPr>
            <w:tcW w:w="5688" w:type="dxa"/>
            <w:shd w:val="clear" w:color="auto" w:fill="auto"/>
          </w:tcPr>
          <w:p w14:paraId="6CFD925F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Lysteknisk arbejde</w:t>
            </w:r>
          </w:p>
          <w:p w14:paraId="56E54357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lysteknisk arbejde på en mindre lysproduktion og assistere på en større lysproduktion, herunder vælge og sammenkoble et lysanlæg samt afvikle lys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3455521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83C503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CDE4FD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426C5E76" w14:textId="77777777" w:rsidTr="0054308C">
        <w:tc>
          <w:tcPr>
            <w:tcW w:w="5688" w:type="dxa"/>
            <w:shd w:val="clear" w:color="auto" w:fill="auto"/>
          </w:tcPr>
          <w:p w14:paraId="0A36BC60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AV-teknisk arbejde</w:t>
            </w:r>
          </w:p>
          <w:p w14:paraId="70E55EFA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udføre AV-teknisk arbejde på en mindre AV-produktion og assistere på en større AV-produktion, herunder planlægge, optage, redigere og gennemføre en AV-produktion ved anvendelse af relevant teknisk udstyr i en rutinemæssig eller kendt situation. </w:t>
            </w:r>
          </w:p>
        </w:tc>
        <w:tc>
          <w:tcPr>
            <w:tcW w:w="1405" w:type="dxa"/>
            <w:shd w:val="clear" w:color="auto" w:fill="auto"/>
          </w:tcPr>
          <w:p w14:paraId="2A798E30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4509A8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3453E1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ECD9203" w14:textId="77777777" w:rsidTr="0054308C">
        <w:tc>
          <w:tcPr>
            <w:tcW w:w="5688" w:type="dxa"/>
            <w:shd w:val="clear" w:color="auto" w:fill="auto"/>
          </w:tcPr>
          <w:p w14:paraId="5270A7D0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lastRenderedPageBreak/>
              <w:t>Ve</w:t>
            </w:r>
            <w:r>
              <w:rPr>
                <w:b/>
                <w:bCs/>
                <w:color w:val="auto"/>
                <w:sz w:val="20"/>
                <w:szCs w:val="20"/>
              </w:rPr>
              <w:t>dligehold og montering</w:t>
            </w:r>
          </w:p>
          <w:p w14:paraId="46E2B353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assistere ved vedligeholdelsesopgaver og montering af udstyr, samt kunne vurdere udstyrets tekniske tilstand og kvalitet i en kendt situation.  </w:t>
            </w:r>
          </w:p>
          <w:p w14:paraId="02064C0D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46A03A7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BF05D8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F40AA2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54308C" w:rsidRPr="00446272" w14:paraId="7D5CC186" w14:textId="77777777" w:rsidTr="0054308C">
        <w:tc>
          <w:tcPr>
            <w:tcW w:w="9520" w:type="dxa"/>
            <w:gridSpan w:val="4"/>
            <w:shd w:val="clear" w:color="auto" w:fill="auto"/>
          </w:tcPr>
          <w:p w14:paraId="7F6734C2" w14:textId="77777777" w:rsidR="0054308C" w:rsidRPr="0054308C" w:rsidRDefault="0054308C" w:rsidP="0054308C">
            <w:pPr>
              <w:pStyle w:val="Listeafsnit"/>
              <w:ind w:left="360" w:hanging="360"/>
              <w:rPr>
                <w:b/>
              </w:rPr>
            </w:pPr>
          </w:p>
          <w:p w14:paraId="355FF51B" w14:textId="77777777" w:rsidR="0054308C" w:rsidRPr="0054308C" w:rsidRDefault="00D97F1C" w:rsidP="0054308C">
            <w:pPr>
              <w:pStyle w:val="Listeafsnit"/>
              <w:ind w:left="360" w:hanging="360"/>
              <w:rPr>
                <w:b/>
              </w:rPr>
            </w:pPr>
            <w:r>
              <w:rPr>
                <w:b/>
              </w:rPr>
              <w:t>Trin 2 eventtekniker med speciale i illuminationsteknik</w:t>
            </w:r>
          </w:p>
          <w:p w14:paraId="3D4AE5C0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69270F50" w14:textId="77777777" w:rsidTr="0054308C">
        <w:tc>
          <w:tcPr>
            <w:tcW w:w="5688" w:type="dxa"/>
            <w:shd w:val="clear" w:color="auto" w:fill="auto"/>
          </w:tcPr>
          <w:p w14:paraId="6A793C85" w14:textId="77777777" w:rsidR="00D97F1C" w:rsidRPr="00D97F1C" w:rsidRDefault="00D97F1C" w:rsidP="00D97F1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Illuminationsteknik</w:t>
            </w:r>
          </w:p>
          <w:p w14:paraId="4813AA7C" w14:textId="77777777" w:rsidR="00D97F1C" w:rsidRPr="00D97F1C" w:rsidRDefault="00D97F1C" w:rsidP="00D97F1C">
            <w:pPr>
              <w:rPr>
                <w:szCs w:val="20"/>
              </w:rPr>
            </w:pPr>
            <w:r w:rsidRPr="00D97F1C">
              <w:rPr>
                <w:szCs w:val="20"/>
              </w:rPr>
              <w:t xml:space="preserve">Den uddannede kan udføre lysteknisk arbejde på et større lysanlæg til afvikling på såvel små som store arrangementer, herunder planlægge, opsætte, afvikle og nedtage relevant </w:t>
            </w:r>
            <w:proofErr w:type="spellStart"/>
            <w:r w:rsidRPr="00D97F1C">
              <w:rPr>
                <w:szCs w:val="20"/>
              </w:rPr>
              <w:t>lysudstyr</w:t>
            </w:r>
            <w:proofErr w:type="spellEnd"/>
            <w:r w:rsidRPr="00D97F1C">
              <w:rPr>
                <w:szCs w:val="20"/>
              </w:rPr>
              <w:t xml:space="preserve"> på avanceret niveau ud fra betydelig forståelse af menneskelig perception og forskellige historiske perioders udtryk.</w:t>
            </w:r>
          </w:p>
        </w:tc>
        <w:tc>
          <w:tcPr>
            <w:tcW w:w="1405" w:type="dxa"/>
            <w:shd w:val="clear" w:color="auto" w:fill="auto"/>
          </w:tcPr>
          <w:p w14:paraId="35802DAA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164ABB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E1BBCCE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32C6DDAE" w14:textId="77777777" w:rsidTr="0054308C">
        <w:tc>
          <w:tcPr>
            <w:tcW w:w="5688" w:type="dxa"/>
            <w:shd w:val="clear" w:color="auto" w:fill="auto"/>
          </w:tcPr>
          <w:p w14:paraId="1A836028" w14:textId="77777777" w:rsidR="00D97F1C" w:rsidRPr="00D97F1C" w:rsidRDefault="00D97F1C" w:rsidP="00D97F1C">
            <w:pPr>
              <w:rPr>
                <w:b/>
                <w:szCs w:val="20"/>
              </w:rPr>
            </w:pPr>
            <w:r w:rsidRPr="00D97F1C">
              <w:rPr>
                <w:b/>
                <w:szCs w:val="20"/>
              </w:rPr>
              <w:t>Fejlfinding, vedligeh</w:t>
            </w:r>
            <w:r>
              <w:rPr>
                <w:b/>
                <w:szCs w:val="20"/>
              </w:rPr>
              <w:t>old og montering – lys</w:t>
            </w:r>
            <w:r w:rsidRPr="00D97F1C">
              <w:rPr>
                <w:b/>
                <w:szCs w:val="20"/>
              </w:rPr>
              <w:t xml:space="preserve"> </w:t>
            </w:r>
          </w:p>
          <w:p w14:paraId="3D0CAE2E" w14:textId="77777777" w:rsidR="00D97F1C" w:rsidRPr="00D97F1C" w:rsidRDefault="00D97F1C" w:rsidP="00D97F1C">
            <w:pPr>
              <w:rPr>
                <w:szCs w:val="20"/>
              </w:rPr>
            </w:pPr>
            <w:r w:rsidRPr="00D97F1C">
              <w:rPr>
                <w:szCs w:val="20"/>
              </w:rPr>
              <w:t xml:space="preserve">Den uddannede kan udføre fejlfinding på og forestå vedligeholdelsesopgaver og </w:t>
            </w:r>
            <w:proofErr w:type="spellStart"/>
            <w:r w:rsidRPr="00D97F1C">
              <w:rPr>
                <w:szCs w:val="20"/>
              </w:rPr>
              <w:t>nymontering</w:t>
            </w:r>
            <w:proofErr w:type="spellEnd"/>
            <w:r w:rsidRPr="00D97F1C">
              <w:rPr>
                <w:szCs w:val="20"/>
              </w:rPr>
              <w:t xml:space="preserve"> af udstyr. </w:t>
            </w:r>
          </w:p>
          <w:p w14:paraId="2A82F7C6" w14:textId="77777777" w:rsidR="00D97F1C" w:rsidRPr="00D97F1C" w:rsidRDefault="00D97F1C" w:rsidP="00D97F1C">
            <w:pPr>
              <w:rPr>
                <w:szCs w:val="20"/>
              </w:rPr>
            </w:pPr>
            <w:r w:rsidRPr="00D97F1C">
              <w:rPr>
                <w:szCs w:val="20"/>
              </w:rPr>
              <w:t>Den uddannede kan anvende det for branchen relevante rigningsudstyr og kan dimensionere og montere relevant el-tekniske og branchespecifikke installationer sikkerhedsmæssigt forsvarligt.</w:t>
            </w:r>
          </w:p>
        </w:tc>
        <w:tc>
          <w:tcPr>
            <w:tcW w:w="1405" w:type="dxa"/>
            <w:shd w:val="clear" w:color="auto" w:fill="auto"/>
          </w:tcPr>
          <w:p w14:paraId="7D683154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13971E2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3D2A31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7E873B5E" w14:textId="77777777" w:rsidTr="0054308C">
        <w:tc>
          <w:tcPr>
            <w:tcW w:w="5688" w:type="dxa"/>
            <w:shd w:val="clear" w:color="auto" w:fill="auto"/>
          </w:tcPr>
          <w:p w14:paraId="12332485" w14:textId="77777777" w:rsidR="00D97F1C" w:rsidRPr="00D97F1C" w:rsidRDefault="00D97F1C" w:rsidP="00D97F1C">
            <w:pPr>
              <w:rPr>
                <w:b/>
                <w:szCs w:val="20"/>
              </w:rPr>
            </w:pPr>
            <w:r w:rsidRPr="00D97F1C">
              <w:rPr>
                <w:b/>
                <w:szCs w:val="20"/>
              </w:rPr>
              <w:t>Planlægning og styring – illumi</w:t>
            </w:r>
            <w:r>
              <w:rPr>
                <w:b/>
                <w:szCs w:val="20"/>
              </w:rPr>
              <w:t>nationsteknik</w:t>
            </w:r>
            <w:r w:rsidRPr="00D97F1C">
              <w:rPr>
                <w:b/>
                <w:szCs w:val="20"/>
              </w:rPr>
              <w:t xml:space="preserve"> </w:t>
            </w:r>
          </w:p>
          <w:p w14:paraId="4F0CC0A8" w14:textId="77777777" w:rsidR="00D97F1C" w:rsidRPr="00D97F1C" w:rsidRDefault="00D97F1C" w:rsidP="00D97F1C">
            <w:pPr>
              <w:rPr>
                <w:szCs w:val="20"/>
              </w:rPr>
            </w:pPr>
            <w:r w:rsidRPr="00D97F1C">
              <w:rPr>
                <w:szCs w:val="20"/>
              </w:rPr>
              <w:t>Den uddannede kan planlægge og styre samtlige faser og processer i realisering af et projekt, herunder idéudvikling, styring af økonomi, organisering, implementering, præsentation og fremlæggelse.</w:t>
            </w:r>
          </w:p>
          <w:p w14:paraId="3747CBAB" w14:textId="77777777" w:rsidR="00D97F1C" w:rsidRPr="00D97F1C" w:rsidRDefault="00D97F1C" w:rsidP="00D97F1C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585D226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7FDCDF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ED362EF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</w:tbl>
    <w:p w14:paraId="24FD8F78" w14:textId="77777777" w:rsidR="00304705" w:rsidRDefault="00304705" w:rsidP="001626F2">
      <w:pPr>
        <w:rPr>
          <w:sz w:val="18"/>
          <w:szCs w:val="18"/>
        </w:rPr>
      </w:pPr>
    </w:p>
    <w:p w14:paraId="2E75AE0F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19F9679" w14:textId="77777777" w:rsidTr="00133F0A">
        <w:tc>
          <w:tcPr>
            <w:tcW w:w="9670" w:type="dxa"/>
            <w:gridSpan w:val="2"/>
          </w:tcPr>
          <w:p w14:paraId="73A3498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A484583" w14:textId="1C9CC3A4" w:rsidR="002E4B69" w:rsidRPr="00446272" w:rsidRDefault="00D3559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49CE4EC" w14:textId="77777777" w:rsidTr="00133F0A">
        <w:tc>
          <w:tcPr>
            <w:tcW w:w="9670" w:type="dxa"/>
            <w:gridSpan w:val="2"/>
          </w:tcPr>
          <w:p w14:paraId="025C584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BB47297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9A5348A" w14:textId="77777777" w:rsidTr="007A08AE">
        <w:tc>
          <w:tcPr>
            <w:tcW w:w="5812" w:type="dxa"/>
          </w:tcPr>
          <w:p w14:paraId="520708F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F3C9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EF4B0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C15568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7259853" w14:textId="77777777" w:rsidTr="00133F0A">
        <w:tc>
          <w:tcPr>
            <w:tcW w:w="9670" w:type="dxa"/>
            <w:gridSpan w:val="2"/>
          </w:tcPr>
          <w:p w14:paraId="21DD4E4D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211B458" w14:textId="6CA6579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3559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3559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C405BA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C09CF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F5D7DD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B2479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270A68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6B2221A" w14:textId="69635D51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3FFEEF4" w14:textId="77777777" w:rsidR="00826432" w:rsidRDefault="00826432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D2FF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BA9BA4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5CB7C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02E95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BD9FD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AAE09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76CBA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EEA5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20889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948E7A" w14:textId="77777777" w:rsidTr="00133F0A">
        <w:tc>
          <w:tcPr>
            <w:tcW w:w="9670" w:type="dxa"/>
            <w:gridSpan w:val="2"/>
          </w:tcPr>
          <w:p w14:paraId="48515EE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4B37B7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22A96B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DABE" w14:textId="77777777" w:rsidR="00206826" w:rsidRDefault="00206826" w:rsidP="00960D5C">
      <w:pPr>
        <w:spacing w:line="240" w:lineRule="auto"/>
      </w:pPr>
      <w:r>
        <w:separator/>
      </w:r>
    </w:p>
  </w:endnote>
  <w:endnote w:type="continuationSeparator" w:id="0">
    <w:p w14:paraId="25EF7A42" w14:textId="77777777" w:rsidR="00206826" w:rsidRDefault="00206826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3618251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5686C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2ED1596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F856" w14:textId="77777777" w:rsidR="00206826" w:rsidRDefault="00206826" w:rsidP="00960D5C">
      <w:pPr>
        <w:spacing w:line="240" w:lineRule="auto"/>
      </w:pPr>
      <w:r>
        <w:separator/>
      </w:r>
    </w:p>
  </w:footnote>
  <w:footnote w:type="continuationSeparator" w:id="0">
    <w:p w14:paraId="50748E28" w14:textId="77777777" w:rsidR="00206826" w:rsidRDefault="00206826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142" w14:textId="77777777" w:rsidR="0009145C" w:rsidRDefault="0009145C" w:rsidP="0025686C">
    <w:pPr>
      <w:pStyle w:val="Sidehoved"/>
      <w:tabs>
        <w:tab w:val="clear" w:pos="4819"/>
        <w:tab w:val="clear" w:pos="9638"/>
        <w:tab w:val="left" w:pos="165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B13B6EA" wp14:editId="28C7981E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C">
      <w:tab/>
    </w:r>
  </w:p>
  <w:p w14:paraId="2D8AE17E" w14:textId="77777777" w:rsidR="0009145C" w:rsidRDefault="0025686C">
    <w:pPr>
      <w:pStyle w:val="Sidehoved"/>
    </w:pPr>
    <w:r>
      <w:rPr>
        <w:noProof/>
      </w:rPr>
      <w:drawing>
        <wp:inline distT="0" distB="0" distL="0" distR="0" wp14:anchorId="1986E9BE" wp14:editId="67C1EC65">
          <wp:extent cx="3448050" cy="338044"/>
          <wp:effectExtent l="0" t="0" r="0" b="508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385" cy="345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9614F" w14:textId="77777777" w:rsidR="0025686C" w:rsidRDefault="0025686C" w:rsidP="0025686C">
    <w:pPr>
      <w:pStyle w:val="Sidehoved"/>
    </w:pPr>
  </w:p>
  <w:p w14:paraId="5116F8ED" w14:textId="77777777" w:rsidR="001F2BA1" w:rsidRDefault="001F2BA1" w:rsidP="000914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8476">
    <w:abstractNumId w:val="0"/>
  </w:num>
  <w:num w:numId="2" w16cid:durableId="1464929448">
    <w:abstractNumId w:val="10"/>
  </w:num>
  <w:num w:numId="3" w16cid:durableId="917055174">
    <w:abstractNumId w:val="6"/>
  </w:num>
  <w:num w:numId="4" w16cid:durableId="276958012">
    <w:abstractNumId w:val="5"/>
  </w:num>
  <w:num w:numId="5" w16cid:durableId="258561312">
    <w:abstractNumId w:val="12"/>
  </w:num>
  <w:num w:numId="6" w16cid:durableId="1886484723">
    <w:abstractNumId w:val="11"/>
  </w:num>
  <w:num w:numId="7" w16cid:durableId="1671905009">
    <w:abstractNumId w:val="2"/>
  </w:num>
  <w:num w:numId="8" w16cid:durableId="122386900">
    <w:abstractNumId w:val="14"/>
  </w:num>
  <w:num w:numId="9" w16cid:durableId="1491873819">
    <w:abstractNumId w:val="9"/>
  </w:num>
  <w:num w:numId="10" w16cid:durableId="1600017000">
    <w:abstractNumId w:val="15"/>
  </w:num>
  <w:num w:numId="11" w16cid:durableId="165024787">
    <w:abstractNumId w:val="7"/>
  </w:num>
  <w:num w:numId="12" w16cid:durableId="1212041610">
    <w:abstractNumId w:val="1"/>
  </w:num>
  <w:num w:numId="13" w16cid:durableId="362442278">
    <w:abstractNumId w:val="3"/>
  </w:num>
  <w:num w:numId="14" w16cid:durableId="1120299753">
    <w:abstractNumId w:val="4"/>
  </w:num>
  <w:num w:numId="15" w16cid:durableId="1237326680">
    <w:abstractNumId w:val="13"/>
  </w:num>
  <w:num w:numId="16" w16cid:durableId="737241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2581"/>
    <w:rsid w:val="001234F3"/>
    <w:rsid w:val="00133F0A"/>
    <w:rsid w:val="001626F2"/>
    <w:rsid w:val="001A0528"/>
    <w:rsid w:val="001F2BA1"/>
    <w:rsid w:val="0020441A"/>
    <w:rsid w:val="00206826"/>
    <w:rsid w:val="00235B00"/>
    <w:rsid w:val="002520EC"/>
    <w:rsid w:val="00255A89"/>
    <w:rsid w:val="0025686C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87069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29C6"/>
    <w:rsid w:val="0054308C"/>
    <w:rsid w:val="005933E8"/>
    <w:rsid w:val="005B0EF5"/>
    <w:rsid w:val="005C0073"/>
    <w:rsid w:val="00604232"/>
    <w:rsid w:val="006B33ED"/>
    <w:rsid w:val="00720F56"/>
    <w:rsid w:val="00745B2A"/>
    <w:rsid w:val="007702B1"/>
    <w:rsid w:val="0078276A"/>
    <w:rsid w:val="00796F55"/>
    <w:rsid w:val="007A08AE"/>
    <w:rsid w:val="007C52F9"/>
    <w:rsid w:val="00822708"/>
    <w:rsid w:val="00823D67"/>
    <w:rsid w:val="00826432"/>
    <w:rsid w:val="00840FB8"/>
    <w:rsid w:val="008A0547"/>
    <w:rsid w:val="008A6677"/>
    <w:rsid w:val="008D36E2"/>
    <w:rsid w:val="00913ECF"/>
    <w:rsid w:val="00920985"/>
    <w:rsid w:val="00953169"/>
    <w:rsid w:val="00960D5C"/>
    <w:rsid w:val="00971F31"/>
    <w:rsid w:val="009A5AAC"/>
    <w:rsid w:val="009E16E0"/>
    <w:rsid w:val="009F6577"/>
    <w:rsid w:val="00A32CD9"/>
    <w:rsid w:val="00AE60EC"/>
    <w:rsid w:val="00AF0E95"/>
    <w:rsid w:val="00B3190B"/>
    <w:rsid w:val="00B85A66"/>
    <w:rsid w:val="00B92BBF"/>
    <w:rsid w:val="00BE3594"/>
    <w:rsid w:val="00C536C5"/>
    <w:rsid w:val="00C87B71"/>
    <w:rsid w:val="00C95ADE"/>
    <w:rsid w:val="00CD008D"/>
    <w:rsid w:val="00D2308C"/>
    <w:rsid w:val="00D35598"/>
    <w:rsid w:val="00D718D3"/>
    <w:rsid w:val="00D81E59"/>
    <w:rsid w:val="00D97F1C"/>
    <w:rsid w:val="00DA0AC8"/>
    <w:rsid w:val="00DB66A6"/>
    <w:rsid w:val="00DD4FA0"/>
    <w:rsid w:val="00E110BE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091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529-47EA-470E-AD36-71A4006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2025-05-08T12:17:00Z</dcterms:created>
  <dcterms:modified xsi:type="dcterms:W3CDTF">2025-05-08T12:17:00Z</dcterms:modified>
</cp:coreProperties>
</file>